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A2F" w:rsidRDefault="00661A2F" w:rsidP="00661A2F">
      <w:pPr>
        <w:pStyle w:val="Default"/>
        <w:jc w:val="both"/>
      </w:pPr>
      <w:r>
        <w:t>MUNICIPIUL BUCUREȘTI</w:t>
      </w:r>
    </w:p>
    <w:p w:rsidR="00661A2F" w:rsidRDefault="00661A2F" w:rsidP="00661A2F">
      <w:pPr>
        <w:pStyle w:val="Default"/>
        <w:jc w:val="both"/>
      </w:pPr>
      <w:r>
        <w:t>CONSILIUL LOCAL SECTOR 4</w:t>
      </w:r>
    </w:p>
    <w:p w:rsidR="00661A2F" w:rsidRDefault="00661A2F" w:rsidP="00661A2F">
      <w:pPr>
        <w:pStyle w:val="Default"/>
        <w:jc w:val="both"/>
      </w:pPr>
      <w:r>
        <w:t>/…    /2016</w:t>
      </w: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661A2F" w:rsidP="00661A2F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 xml:space="preserve">PROIECT DE HOTĂRÂRE </w:t>
      </w:r>
    </w:p>
    <w:p w:rsidR="00661A2F" w:rsidRDefault="00661A2F" w:rsidP="00661A2F">
      <w:pPr>
        <w:pStyle w:val="Default"/>
        <w:jc w:val="center"/>
        <w:rPr>
          <w:b/>
          <w:bCs/>
          <w:color w:val="auto"/>
        </w:rPr>
      </w:pPr>
      <w:proofErr w:type="spellStart"/>
      <w:r>
        <w:rPr>
          <w:b/>
          <w:bCs/>
          <w:color w:val="auto"/>
        </w:rPr>
        <w:t>privind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aprobarea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Regulamentului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privind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desfăşurarea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activităţilor</w:t>
      </w:r>
      <w:proofErr w:type="spellEnd"/>
      <w:r>
        <w:rPr>
          <w:b/>
          <w:bCs/>
          <w:color w:val="auto"/>
        </w:rPr>
        <w:t xml:space="preserve"> de </w:t>
      </w:r>
      <w:proofErr w:type="spellStart"/>
      <w:r>
        <w:rPr>
          <w:b/>
          <w:bCs/>
          <w:color w:val="auto"/>
        </w:rPr>
        <w:t>comercializare</w:t>
      </w:r>
      <w:proofErr w:type="spellEnd"/>
      <w:r>
        <w:rPr>
          <w:b/>
          <w:bCs/>
          <w:color w:val="auto"/>
        </w:rPr>
        <w:t xml:space="preserve"> a </w:t>
      </w:r>
      <w:proofErr w:type="spellStart"/>
      <w:r>
        <w:rPr>
          <w:b/>
          <w:bCs/>
          <w:color w:val="auto"/>
        </w:rPr>
        <w:t>produselor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şi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serviciilor</w:t>
      </w:r>
      <w:proofErr w:type="spellEnd"/>
      <w:r>
        <w:rPr>
          <w:b/>
          <w:bCs/>
          <w:color w:val="auto"/>
        </w:rPr>
        <w:t xml:space="preserve"> de </w:t>
      </w:r>
      <w:proofErr w:type="spellStart"/>
      <w:r>
        <w:rPr>
          <w:b/>
          <w:bCs/>
          <w:color w:val="auto"/>
        </w:rPr>
        <w:t>piaţă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pe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raza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administrativ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teritorială</w:t>
      </w:r>
      <w:proofErr w:type="spellEnd"/>
      <w:r>
        <w:rPr>
          <w:b/>
          <w:bCs/>
          <w:color w:val="auto"/>
        </w:rPr>
        <w:t xml:space="preserve"> a </w:t>
      </w:r>
      <w:proofErr w:type="spellStart"/>
      <w:r>
        <w:rPr>
          <w:b/>
          <w:bCs/>
          <w:color w:val="auto"/>
        </w:rPr>
        <w:t>Sectorului</w:t>
      </w:r>
      <w:proofErr w:type="spellEnd"/>
      <w:r>
        <w:rPr>
          <w:b/>
          <w:bCs/>
          <w:color w:val="auto"/>
        </w:rPr>
        <w:t xml:space="preserve"> 4 al </w:t>
      </w:r>
      <w:proofErr w:type="spellStart"/>
      <w:r>
        <w:rPr>
          <w:b/>
          <w:bCs/>
          <w:color w:val="auto"/>
        </w:rPr>
        <w:t>Municipiului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Bucureşti</w:t>
      </w:r>
      <w:proofErr w:type="spellEnd"/>
    </w:p>
    <w:p w:rsidR="00661A2F" w:rsidRDefault="00661A2F" w:rsidP="00661A2F">
      <w:pPr>
        <w:pStyle w:val="Default"/>
        <w:jc w:val="both"/>
        <w:rPr>
          <w:b/>
          <w:bCs/>
          <w:color w:val="auto"/>
        </w:rPr>
      </w:pP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661A2F" w:rsidP="00661A2F">
      <w:pPr>
        <w:pStyle w:val="Default"/>
        <w:jc w:val="both"/>
        <w:rPr>
          <w:color w:val="auto"/>
        </w:rPr>
      </w:pPr>
      <w:proofErr w:type="spellStart"/>
      <w:r>
        <w:rPr>
          <w:b/>
          <w:bCs/>
          <w:color w:val="auto"/>
        </w:rPr>
        <w:t>Având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în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vedere</w:t>
      </w:r>
      <w:proofErr w:type="spellEnd"/>
      <w:r>
        <w:rPr>
          <w:b/>
          <w:bCs/>
          <w:color w:val="auto"/>
        </w:rPr>
        <w:t xml:space="preserve">: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proofErr w:type="spellStart"/>
      <w:r>
        <w:rPr>
          <w:color w:val="auto"/>
        </w:rPr>
        <w:t>Expunerea</w:t>
      </w:r>
      <w:proofErr w:type="spellEnd"/>
      <w:r>
        <w:rPr>
          <w:color w:val="auto"/>
        </w:rPr>
        <w:t xml:space="preserve"> de motive a </w:t>
      </w:r>
      <w:proofErr w:type="spellStart"/>
      <w:r>
        <w:rPr>
          <w:color w:val="auto"/>
        </w:rPr>
        <w:t>Primarului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Sectorului</w:t>
      </w:r>
      <w:proofErr w:type="spellEnd"/>
      <w:r>
        <w:rPr>
          <w:color w:val="auto"/>
        </w:rPr>
        <w:t xml:space="preserve"> 4 al </w:t>
      </w:r>
      <w:proofErr w:type="spellStart"/>
      <w:r>
        <w:rPr>
          <w:color w:val="auto"/>
        </w:rPr>
        <w:t>Municipiului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Bucureşti</w:t>
      </w:r>
      <w:proofErr w:type="spellEnd"/>
      <w:r>
        <w:rPr>
          <w:color w:val="auto"/>
        </w:rPr>
        <w:t xml:space="preserve">,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proofErr w:type="spellStart"/>
      <w:r>
        <w:rPr>
          <w:color w:val="auto"/>
        </w:rPr>
        <w:t>Raportul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specialitate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întocmit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Serviciul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Autorizări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Comerciale</w:t>
      </w:r>
      <w:proofErr w:type="spellEnd"/>
      <w:r>
        <w:rPr>
          <w:color w:val="auto"/>
        </w:rPr>
        <w:t xml:space="preserve">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12/1990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protejarea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populaţiei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împotriva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unor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activităţi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comerciale</w:t>
      </w:r>
      <w:proofErr w:type="spellEnd"/>
      <w:r>
        <w:rPr>
          <w:color w:val="auto"/>
        </w:rPr>
        <w:t xml:space="preserve"> </w:t>
      </w:r>
      <w:proofErr w:type="spellStart"/>
      <w:proofErr w:type="gramStart"/>
      <w:r>
        <w:rPr>
          <w:color w:val="auto"/>
        </w:rPr>
        <w:t>ilicite</w:t>
      </w:r>
      <w:proofErr w:type="spellEnd"/>
      <w:r>
        <w:rPr>
          <w:color w:val="auto"/>
        </w:rPr>
        <w:t>,  cu</w:t>
      </w:r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 xml:space="preserve">;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359/2004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simplificarea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formalităţilor</w:t>
      </w:r>
      <w:proofErr w:type="spellEnd"/>
      <w:r>
        <w:rPr>
          <w:color w:val="auto"/>
        </w:rPr>
        <w:t xml:space="preserve"> la </w:t>
      </w:r>
      <w:proofErr w:type="spellStart"/>
      <w:r>
        <w:rPr>
          <w:color w:val="auto"/>
        </w:rPr>
        <w:t>înregistrarea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în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registrul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comerţului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persoanelor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fizice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asociaţiilor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familiale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persoanelor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juridice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înregistrarea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fiscală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acestora</w:t>
      </w:r>
      <w:proofErr w:type="spellEnd"/>
      <w:r>
        <w:rPr>
          <w:color w:val="auto"/>
        </w:rPr>
        <w:t xml:space="preserve">, precum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la </w:t>
      </w:r>
      <w:proofErr w:type="spellStart"/>
      <w:r>
        <w:rPr>
          <w:color w:val="auto"/>
        </w:rPr>
        <w:t>autorizarea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funcţionării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persoanelor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juridice</w:t>
      </w:r>
      <w:proofErr w:type="spellEnd"/>
      <w:r>
        <w:rPr>
          <w:color w:val="auto"/>
        </w:rPr>
        <w:t xml:space="preserve">, cu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 xml:space="preserve">;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50/1991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autorizarea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executării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lucrărilor</w:t>
      </w:r>
      <w:proofErr w:type="spellEnd"/>
      <w:r>
        <w:rPr>
          <w:color w:val="auto"/>
        </w:rPr>
        <w:t xml:space="preserve"> de </w:t>
      </w:r>
      <w:proofErr w:type="spellStart"/>
      <w:proofErr w:type="gramStart"/>
      <w:r>
        <w:rPr>
          <w:color w:val="auto"/>
        </w:rPr>
        <w:t>construcţii,</w:t>
      </w:r>
      <w:r w:rsidR="00DF4D39">
        <w:rPr>
          <w:color w:val="auto"/>
        </w:rPr>
        <w:t>republicată</w:t>
      </w:r>
      <w:proofErr w:type="spellEnd"/>
      <w:proofErr w:type="gramEnd"/>
      <w:r>
        <w:rPr>
          <w:color w:val="auto"/>
        </w:rPr>
        <w:t xml:space="preserve"> cu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 xml:space="preserve">;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52/2003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transparenţa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decizională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în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administraţia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publică</w:t>
      </w:r>
      <w:proofErr w:type="spellEnd"/>
      <w:r>
        <w:rPr>
          <w:color w:val="auto"/>
        </w:rPr>
        <w:t xml:space="preserve">, cu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 xml:space="preserve">; </w:t>
      </w:r>
    </w:p>
    <w:p w:rsidR="00661A2F" w:rsidRDefault="00DF4D39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227/2015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 w:rsidR="00661A2F">
        <w:rPr>
          <w:color w:val="auto"/>
        </w:rPr>
        <w:t>Codul</w:t>
      </w:r>
      <w:proofErr w:type="spellEnd"/>
      <w:r w:rsidR="00661A2F">
        <w:rPr>
          <w:color w:val="auto"/>
        </w:rPr>
        <w:t xml:space="preserve"> Fiscal, cu </w:t>
      </w:r>
      <w:proofErr w:type="spellStart"/>
      <w:r w:rsidR="00661A2F">
        <w:rPr>
          <w:color w:val="auto"/>
        </w:rPr>
        <w:t>modificările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şi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completările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ulterioare</w:t>
      </w:r>
      <w:proofErr w:type="spellEnd"/>
      <w:r w:rsidR="00661A2F">
        <w:rPr>
          <w:color w:val="auto"/>
        </w:rPr>
        <w:t xml:space="preserve">;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7 / </w:t>
      </w:r>
      <w:proofErr w:type="gramStart"/>
      <w:r>
        <w:rPr>
          <w:color w:val="auto"/>
        </w:rPr>
        <w:t xml:space="preserve">1996  </w:t>
      </w:r>
      <w:proofErr w:type="spellStart"/>
      <w:r>
        <w:rPr>
          <w:color w:val="auto"/>
        </w:rPr>
        <w:t>privind</w:t>
      </w:r>
      <w:proofErr w:type="spellEnd"/>
      <w:proofErr w:type="gramEnd"/>
      <w:r>
        <w:rPr>
          <w:color w:val="auto"/>
        </w:rPr>
        <w:t xml:space="preserve"> 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Cadastrului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publicității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Imobiliare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republicată</w:t>
      </w:r>
      <w:proofErr w:type="spellEnd"/>
      <w:r>
        <w:rPr>
          <w:color w:val="auto"/>
        </w:rPr>
        <w:t xml:space="preserve"> cu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 xml:space="preserve"> ;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307 / 2006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proofErr w:type="gramStart"/>
      <w:r>
        <w:rPr>
          <w:color w:val="auto"/>
        </w:rPr>
        <w:t>apărarea</w:t>
      </w:r>
      <w:proofErr w:type="spellEnd"/>
      <w:r>
        <w:rPr>
          <w:color w:val="auto"/>
        </w:rPr>
        <w:t xml:space="preserve">  </w:t>
      </w:r>
      <w:proofErr w:type="spellStart"/>
      <w:r>
        <w:rPr>
          <w:color w:val="auto"/>
        </w:rPr>
        <w:t>impotriva</w:t>
      </w:r>
      <w:proofErr w:type="spellEnd"/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incendiilor</w:t>
      </w:r>
      <w:proofErr w:type="spellEnd"/>
      <w:r>
        <w:rPr>
          <w:color w:val="auto"/>
        </w:rPr>
        <w:t xml:space="preserve"> cu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 xml:space="preserve"> ,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proofErr w:type="spellStart"/>
      <w:r>
        <w:rPr>
          <w:bCs/>
        </w:rPr>
        <w:t>Legea</w:t>
      </w:r>
      <w:proofErr w:type="spellEnd"/>
      <w:r>
        <w:rPr>
          <w:bCs/>
        </w:rPr>
        <w:t xml:space="preserve"> nr.153/2011 </w:t>
      </w:r>
      <w:proofErr w:type="spellStart"/>
      <w:r>
        <w:rPr>
          <w:bCs/>
        </w:rPr>
        <w:t>privind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măsuri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creştere</w:t>
      </w:r>
      <w:proofErr w:type="spellEnd"/>
      <w:r>
        <w:rPr>
          <w:bCs/>
        </w:rPr>
        <w:t xml:space="preserve"> a </w:t>
      </w:r>
      <w:proofErr w:type="spellStart"/>
      <w:r>
        <w:rPr>
          <w:bCs/>
        </w:rPr>
        <w:t>calităţii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arhitectural-ambientale</w:t>
      </w:r>
      <w:proofErr w:type="spellEnd"/>
      <w:r>
        <w:rPr>
          <w:bCs/>
        </w:rPr>
        <w:t xml:space="preserve"> a </w:t>
      </w:r>
      <w:proofErr w:type="spellStart"/>
      <w:r>
        <w:rPr>
          <w:bCs/>
        </w:rPr>
        <w:t>clădirilor</w:t>
      </w:r>
      <w:proofErr w:type="spellEnd"/>
      <w:r w:rsidR="00DF4D39">
        <w:rPr>
          <w:bCs/>
        </w:rPr>
        <w:t xml:space="preserve">, cu </w:t>
      </w:r>
      <w:proofErr w:type="spellStart"/>
      <w:r w:rsidR="00DF4D39">
        <w:rPr>
          <w:bCs/>
        </w:rPr>
        <w:t>modificările</w:t>
      </w:r>
      <w:proofErr w:type="spellEnd"/>
      <w:r w:rsidR="00DF4D39">
        <w:rPr>
          <w:bCs/>
        </w:rPr>
        <w:t xml:space="preserve"> </w:t>
      </w:r>
      <w:proofErr w:type="spellStart"/>
      <w:r w:rsidR="00DF4D39">
        <w:rPr>
          <w:bCs/>
        </w:rPr>
        <w:t>și</w:t>
      </w:r>
      <w:proofErr w:type="spellEnd"/>
      <w:r w:rsidR="00DF4D39">
        <w:rPr>
          <w:bCs/>
        </w:rPr>
        <w:t xml:space="preserve"> </w:t>
      </w:r>
      <w:proofErr w:type="spellStart"/>
      <w:r w:rsidR="00DF4D39">
        <w:rPr>
          <w:bCs/>
        </w:rPr>
        <w:t>completările</w:t>
      </w:r>
      <w:proofErr w:type="spellEnd"/>
      <w:r w:rsidR="00DF4D39">
        <w:rPr>
          <w:bCs/>
        </w:rPr>
        <w:t xml:space="preserve"> </w:t>
      </w:r>
      <w:proofErr w:type="spellStart"/>
      <w:r w:rsidR="00DF4D39">
        <w:rPr>
          <w:bCs/>
        </w:rPr>
        <w:t>ulterioare</w:t>
      </w:r>
      <w:proofErr w:type="spellEnd"/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spellStart"/>
      <w:r>
        <w:rPr>
          <w:color w:val="auto"/>
        </w:rPr>
        <w:t>Legii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61/1991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sancţionarea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faptelor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încălcare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unor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norme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convieţuire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socială</w:t>
      </w:r>
      <w:proofErr w:type="spellEnd"/>
      <w:r>
        <w:rPr>
          <w:color w:val="auto"/>
        </w:rPr>
        <w:t xml:space="preserve">, a </w:t>
      </w:r>
      <w:proofErr w:type="spellStart"/>
      <w:r>
        <w:rPr>
          <w:color w:val="auto"/>
        </w:rPr>
        <w:t>ordinii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 w:rsidR="00DF4D39">
        <w:rPr>
          <w:color w:val="auto"/>
        </w:rPr>
        <w:t>liniştii</w:t>
      </w:r>
      <w:proofErr w:type="spellEnd"/>
      <w:r w:rsidR="00DF4D39">
        <w:rPr>
          <w:color w:val="auto"/>
        </w:rPr>
        <w:t xml:space="preserve"> </w:t>
      </w:r>
      <w:proofErr w:type="spellStart"/>
      <w:r w:rsidR="00DF4D39">
        <w:rPr>
          <w:color w:val="auto"/>
        </w:rPr>
        <w:t>publice</w:t>
      </w:r>
      <w:proofErr w:type="spellEnd"/>
      <w:r w:rsidR="00DF4D39">
        <w:rPr>
          <w:color w:val="auto"/>
        </w:rPr>
        <w:t xml:space="preserve">, </w:t>
      </w:r>
      <w:proofErr w:type="spellStart"/>
      <w:r w:rsidR="00DF4D39">
        <w:rPr>
          <w:color w:val="auto"/>
        </w:rPr>
        <w:t>republicată</w:t>
      </w:r>
      <w:proofErr w:type="spellEnd"/>
      <w:r>
        <w:rPr>
          <w:color w:val="auto"/>
        </w:rPr>
        <w:t xml:space="preserve">;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gramStart"/>
      <w:r>
        <w:rPr>
          <w:color w:val="auto"/>
        </w:rPr>
        <w:t>H.G..</w:t>
      </w:r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571 /2016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aprobarea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categoriilor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construcții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amenajări</w:t>
      </w:r>
      <w:proofErr w:type="spellEnd"/>
      <w:r>
        <w:rPr>
          <w:color w:val="auto"/>
        </w:rPr>
        <w:t xml:space="preserve"> care se </w:t>
      </w:r>
      <w:proofErr w:type="spellStart"/>
      <w:r>
        <w:rPr>
          <w:color w:val="auto"/>
        </w:rPr>
        <w:t>supun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avizării</w:t>
      </w:r>
      <w:proofErr w:type="spellEnd"/>
      <w:r>
        <w:rPr>
          <w:color w:val="auto"/>
        </w:rPr>
        <w:t xml:space="preserve"> /</w:t>
      </w:r>
      <w:proofErr w:type="spellStart"/>
      <w:r>
        <w:rPr>
          <w:color w:val="auto"/>
        </w:rPr>
        <w:t>autorizării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securitatea</w:t>
      </w:r>
      <w:proofErr w:type="spellEnd"/>
      <w:r>
        <w:rPr>
          <w:color w:val="auto"/>
        </w:rPr>
        <w:t xml:space="preserve"> la </w:t>
      </w:r>
      <w:proofErr w:type="spellStart"/>
      <w:r>
        <w:rPr>
          <w:color w:val="auto"/>
        </w:rPr>
        <w:t>incendiu</w:t>
      </w:r>
      <w:proofErr w:type="spellEnd"/>
      <w:r>
        <w:rPr>
          <w:color w:val="auto"/>
        </w:rPr>
        <w:t xml:space="preserve">;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H.G.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333/2003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aprobarea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Normelor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metodologice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aplicare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Ordonanţei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Guvernului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99/2000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comercializarea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produselor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serviciilor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piaţă</w:t>
      </w:r>
      <w:proofErr w:type="spellEnd"/>
      <w:r>
        <w:rPr>
          <w:color w:val="auto"/>
        </w:rPr>
        <w:t>;</w:t>
      </w:r>
    </w:p>
    <w:p w:rsidR="00DF4D39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proofErr w:type="spellStart"/>
      <w:r>
        <w:rPr>
          <w:color w:val="auto"/>
        </w:rPr>
        <w:t>Prevederile</w:t>
      </w:r>
      <w:proofErr w:type="spellEnd"/>
      <w:r>
        <w:rPr>
          <w:color w:val="auto"/>
        </w:rPr>
        <w:t xml:space="preserve"> H.G.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348/2004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exercitarea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comerţului</w:t>
      </w:r>
      <w:proofErr w:type="spellEnd"/>
      <w:r>
        <w:rPr>
          <w:color w:val="auto"/>
        </w:rPr>
        <w:t xml:space="preserve"> cu </w:t>
      </w:r>
      <w:proofErr w:type="spellStart"/>
      <w:r>
        <w:rPr>
          <w:color w:val="auto"/>
        </w:rPr>
        <w:t>produse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servicii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piaţă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în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unele</w:t>
      </w:r>
      <w:proofErr w:type="spellEnd"/>
      <w:r>
        <w:rPr>
          <w:color w:val="auto"/>
        </w:rPr>
        <w:t xml:space="preserve"> zone </w:t>
      </w:r>
      <w:proofErr w:type="spellStart"/>
      <w:r>
        <w:rPr>
          <w:color w:val="auto"/>
        </w:rPr>
        <w:t>publice</w:t>
      </w:r>
      <w:proofErr w:type="spellEnd"/>
      <w:r>
        <w:rPr>
          <w:color w:val="auto"/>
        </w:rPr>
        <w:t>,</w:t>
      </w:r>
      <w:r w:rsidR="00DF4D39">
        <w:rPr>
          <w:color w:val="auto"/>
        </w:rPr>
        <w:t xml:space="preserve"> cu </w:t>
      </w:r>
      <w:proofErr w:type="spellStart"/>
      <w:r w:rsidR="00DF4D39">
        <w:rPr>
          <w:color w:val="auto"/>
        </w:rPr>
        <w:t>modificările</w:t>
      </w:r>
      <w:proofErr w:type="spellEnd"/>
      <w:r w:rsidR="00DF4D39">
        <w:rPr>
          <w:color w:val="auto"/>
        </w:rPr>
        <w:t xml:space="preserve"> </w:t>
      </w:r>
      <w:proofErr w:type="spellStart"/>
      <w:r w:rsidR="00DF4D39">
        <w:rPr>
          <w:color w:val="auto"/>
        </w:rPr>
        <w:t>și</w:t>
      </w:r>
      <w:proofErr w:type="spellEnd"/>
      <w:r w:rsidR="00DF4D39">
        <w:rPr>
          <w:color w:val="auto"/>
        </w:rPr>
        <w:t xml:space="preserve"> </w:t>
      </w:r>
      <w:proofErr w:type="spellStart"/>
      <w:r w:rsidR="00DF4D39">
        <w:rPr>
          <w:color w:val="auto"/>
        </w:rPr>
        <w:t>completările</w:t>
      </w:r>
      <w:proofErr w:type="spellEnd"/>
      <w:r w:rsidR="00DF4D39">
        <w:rPr>
          <w:color w:val="auto"/>
        </w:rPr>
        <w:t xml:space="preserve"> </w:t>
      </w:r>
      <w:proofErr w:type="spellStart"/>
      <w:proofErr w:type="gramStart"/>
      <w:r w:rsidR="00DF4D39">
        <w:rPr>
          <w:color w:val="auto"/>
        </w:rPr>
        <w:t>ulterioare</w:t>
      </w:r>
      <w:proofErr w:type="spellEnd"/>
      <w:r w:rsidR="00DF4D39">
        <w:rPr>
          <w:color w:val="auto"/>
        </w:rPr>
        <w:t xml:space="preserve"> ;</w:t>
      </w:r>
      <w:proofErr w:type="gramEnd"/>
    </w:p>
    <w:p w:rsidR="00DF4D39" w:rsidRDefault="00DF4D39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HG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1/2016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aprobarea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Normelor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metodoliogice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aplicare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Legii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227/2015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Codul</w:t>
      </w:r>
      <w:proofErr w:type="spellEnd"/>
      <w:r>
        <w:rPr>
          <w:color w:val="auto"/>
        </w:rPr>
        <w:t xml:space="preserve"> fiscal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O.G.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99/2000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comercializarea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produselor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serviciilor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piaţă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modificată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completată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prin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650/2002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aprobarea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Ordonanţei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Guvernului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99/2000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comercializarea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produselor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serviciilor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piaţă</w:t>
      </w:r>
      <w:proofErr w:type="spellEnd"/>
      <w:r>
        <w:rPr>
          <w:color w:val="auto"/>
        </w:rPr>
        <w:t>;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O.G.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2/2001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regim</w:t>
      </w:r>
      <w:r w:rsidR="00327F0F">
        <w:rPr>
          <w:color w:val="auto"/>
        </w:rPr>
        <w:t>ul</w:t>
      </w:r>
      <w:proofErr w:type="spell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juridic</w:t>
      </w:r>
      <w:proofErr w:type="spellEnd"/>
      <w:r w:rsidR="00327F0F">
        <w:rPr>
          <w:color w:val="auto"/>
        </w:rPr>
        <w:t xml:space="preserve"> al </w:t>
      </w:r>
      <w:proofErr w:type="spellStart"/>
      <w:proofErr w:type="gramStart"/>
      <w:r w:rsidR="00327F0F">
        <w:rPr>
          <w:color w:val="auto"/>
        </w:rPr>
        <w:t>contravenţiilor</w:t>
      </w:r>
      <w:proofErr w:type="spellEnd"/>
      <w:r w:rsidR="00327F0F">
        <w:rPr>
          <w:color w:val="auto"/>
        </w:rPr>
        <w:t xml:space="preserve">, </w:t>
      </w:r>
      <w:r>
        <w:rPr>
          <w:color w:val="auto"/>
        </w:rPr>
        <w:t xml:space="preserve"> cu</w:t>
      </w:r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 xml:space="preserve">; </w:t>
      </w:r>
    </w:p>
    <w:p w:rsidR="00661A2F" w:rsidRDefault="00661A2F" w:rsidP="00661A2F">
      <w:pPr>
        <w:pStyle w:val="Default"/>
        <w:jc w:val="both"/>
        <w:rPr>
          <w:color w:val="auto"/>
        </w:rPr>
      </w:pPr>
      <w:r>
        <w:rPr>
          <w:color w:val="auto"/>
        </w:rPr>
        <w:t xml:space="preserve">-     O.M.S.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1030 / 2009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aprobarea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procedurilor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reglementare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sanitară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pentru</w:t>
      </w:r>
      <w:proofErr w:type="spellEnd"/>
    </w:p>
    <w:p w:rsidR="00661A2F" w:rsidRDefault="00661A2F" w:rsidP="00661A2F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  </w:t>
      </w:r>
      <w:proofErr w:type="spellStart"/>
      <w:r>
        <w:rPr>
          <w:color w:val="auto"/>
        </w:rPr>
        <w:t>proiectele</w:t>
      </w:r>
      <w:proofErr w:type="spellEnd"/>
      <w:r>
        <w:rPr>
          <w:color w:val="auto"/>
        </w:rPr>
        <w:t xml:space="preserve"> de </w:t>
      </w:r>
      <w:proofErr w:type="spellStart"/>
      <w:proofErr w:type="gramStart"/>
      <w:r>
        <w:rPr>
          <w:color w:val="auto"/>
        </w:rPr>
        <w:t>amplasare</w:t>
      </w:r>
      <w:proofErr w:type="spellEnd"/>
      <w:r>
        <w:rPr>
          <w:color w:val="auto"/>
        </w:rPr>
        <w:t xml:space="preserve"> ,</w:t>
      </w:r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amenjare</w:t>
      </w:r>
      <w:proofErr w:type="spellEnd"/>
      <w:r>
        <w:rPr>
          <w:color w:val="auto"/>
        </w:rPr>
        <w:t xml:space="preserve"> , </w:t>
      </w:r>
      <w:proofErr w:type="spellStart"/>
      <w:r>
        <w:rPr>
          <w:color w:val="auto"/>
        </w:rPr>
        <w:t>construire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funcționarea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obiectivelor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desfășoară</w:t>
      </w:r>
      <w:proofErr w:type="spellEnd"/>
      <w:r w:rsidR="00327F0F">
        <w:rPr>
          <w:color w:val="auto"/>
        </w:rPr>
        <w:t xml:space="preserve"> </w:t>
      </w:r>
      <w:proofErr w:type="spellStart"/>
      <w:r>
        <w:rPr>
          <w:color w:val="auto"/>
        </w:rPr>
        <w:t>activități</w:t>
      </w:r>
      <w:proofErr w:type="spellEnd"/>
      <w:r>
        <w:rPr>
          <w:color w:val="auto"/>
        </w:rPr>
        <w:t xml:space="preserve"> cu </w:t>
      </w:r>
      <w:proofErr w:type="spellStart"/>
      <w:r>
        <w:rPr>
          <w:color w:val="auto"/>
        </w:rPr>
        <w:t>risc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starea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sănătate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populației</w:t>
      </w:r>
      <w:proofErr w:type="spellEnd"/>
      <w:r>
        <w:rPr>
          <w:color w:val="auto"/>
        </w:rPr>
        <w:t>;</w:t>
      </w:r>
    </w:p>
    <w:p w:rsidR="00661A2F" w:rsidRDefault="00661A2F" w:rsidP="00661A2F">
      <w:pPr>
        <w:pStyle w:val="Default"/>
        <w:jc w:val="both"/>
        <w:rPr>
          <w:color w:val="auto"/>
        </w:rPr>
      </w:pPr>
      <w:r>
        <w:rPr>
          <w:color w:val="auto"/>
        </w:rPr>
        <w:t xml:space="preserve">-    O.M.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1798 / 2007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aprobarea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procedurii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emitere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autorizației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mediu</w:t>
      </w:r>
      <w:proofErr w:type="spellEnd"/>
      <w:r>
        <w:rPr>
          <w:color w:val="auto"/>
        </w:rPr>
        <w:t xml:space="preserve"> cu </w:t>
      </w:r>
    </w:p>
    <w:p w:rsidR="00661A2F" w:rsidRDefault="00661A2F" w:rsidP="00661A2F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>.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H.C.G.M.B. </w:t>
      </w:r>
      <w:proofErr w:type="spellStart"/>
      <w:r>
        <w:rPr>
          <w:color w:val="auto"/>
        </w:rPr>
        <w:t>nr</w:t>
      </w:r>
      <w:proofErr w:type="spellEnd"/>
      <w:r>
        <w:rPr>
          <w:color w:val="auto"/>
        </w:rPr>
        <w:t xml:space="preserve">. 118/2004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exercitarea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activităţii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comercializare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principalele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reţele</w:t>
      </w:r>
      <w:proofErr w:type="spellEnd"/>
      <w:r>
        <w:rPr>
          <w:color w:val="auto"/>
        </w:rPr>
        <w:t xml:space="preserve"> </w:t>
      </w:r>
      <w:proofErr w:type="spellStart"/>
      <w:proofErr w:type="gramStart"/>
      <w:r>
        <w:rPr>
          <w:color w:val="auto"/>
        </w:rPr>
        <w:t>stradale;</w:t>
      </w:r>
      <w:r w:rsidR="00327F0F">
        <w:rPr>
          <w:color w:val="auto"/>
        </w:rPr>
        <w:t>cu</w:t>
      </w:r>
      <w:proofErr w:type="spellEnd"/>
      <w:proofErr w:type="gram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modificările</w:t>
      </w:r>
      <w:proofErr w:type="spell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și</w:t>
      </w:r>
      <w:proofErr w:type="spell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completările</w:t>
      </w:r>
      <w:proofErr w:type="spell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ulterioare</w:t>
      </w:r>
      <w:proofErr w:type="spellEnd"/>
      <w:r>
        <w:rPr>
          <w:color w:val="auto"/>
        </w:rPr>
        <w:t xml:space="preserve"> </w:t>
      </w:r>
    </w:p>
    <w:p w:rsidR="00661A2F" w:rsidRDefault="00661A2F" w:rsidP="00661A2F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 xml:space="preserve"> </w:t>
      </w:r>
      <w:proofErr w:type="spellStart"/>
      <w:r>
        <w:rPr>
          <w:color w:val="auto"/>
        </w:rPr>
        <w:t>Regulamentului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Organizare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Funcţionare</w:t>
      </w:r>
      <w:proofErr w:type="spellEnd"/>
      <w:r>
        <w:rPr>
          <w:color w:val="auto"/>
        </w:rPr>
        <w:t xml:space="preserve"> al </w:t>
      </w:r>
      <w:proofErr w:type="spellStart"/>
      <w:r>
        <w:rPr>
          <w:color w:val="auto"/>
        </w:rPr>
        <w:t>Direcţiei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Generale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Poliţie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Locală</w:t>
      </w:r>
      <w:proofErr w:type="spellEnd"/>
      <w:r>
        <w:rPr>
          <w:color w:val="auto"/>
        </w:rPr>
        <w:t xml:space="preserve"> Sector 4, </w:t>
      </w:r>
      <w:proofErr w:type="spellStart"/>
      <w:r>
        <w:rPr>
          <w:color w:val="auto"/>
        </w:rPr>
        <w:t>apr</w:t>
      </w:r>
      <w:r w:rsidR="00327F0F">
        <w:rPr>
          <w:color w:val="auto"/>
        </w:rPr>
        <w:t>obat</w:t>
      </w:r>
      <w:proofErr w:type="spell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prin</w:t>
      </w:r>
      <w:proofErr w:type="spellEnd"/>
      <w:r w:rsidR="00327F0F">
        <w:rPr>
          <w:color w:val="auto"/>
        </w:rPr>
        <w:t xml:space="preserve"> H.C.L.S.4 </w:t>
      </w:r>
      <w:proofErr w:type="spellStart"/>
      <w:r w:rsidR="00327F0F">
        <w:rPr>
          <w:color w:val="auto"/>
        </w:rPr>
        <w:t>nr</w:t>
      </w:r>
      <w:proofErr w:type="spellEnd"/>
      <w:r w:rsidR="00327F0F">
        <w:rPr>
          <w:color w:val="auto"/>
        </w:rPr>
        <w:t>. 49/2016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155/2010 a </w:t>
      </w:r>
      <w:proofErr w:type="spellStart"/>
      <w:r>
        <w:rPr>
          <w:color w:val="auto"/>
        </w:rPr>
        <w:t>Poliției</w:t>
      </w:r>
      <w:proofErr w:type="spellEnd"/>
      <w:r>
        <w:rPr>
          <w:color w:val="auto"/>
        </w:rPr>
        <w:t xml:space="preserve"> Locale</w:t>
      </w:r>
      <w:r w:rsidR="00327F0F">
        <w:rPr>
          <w:color w:val="auto"/>
        </w:rPr>
        <w:t xml:space="preserve">, cu </w:t>
      </w:r>
      <w:proofErr w:type="spellStart"/>
      <w:r w:rsidR="00327F0F">
        <w:rPr>
          <w:color w:val="auto"/>
        </w:rPr>
        <w:t>modificările</w:t>
      </w:r>
      <w:proofErr w:type="spell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și</w:t>
      </w:r>
      <w:proofErr w:type="spell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completările</w:t>
      </w:r>
      <w:proofErr w:type="spellEnd"/>
      <w:r w:rsidR="00327F0F">
        <w:rPr>
          <w:color w:val="auto"/>
        </w:rPr>
        <w:t xml:space="preserve"> </w:t>
      </w:r>
      <w:proofErr w:type="spellStart"/>
      <w:r w:rsidR="00327F0F">
        <w:rPr>
          <w:color w:val="auto"/>
        </w:rPr>
        <w:t>ulterioare</w:t>
      </w:r>
      <w:proofErr w:type="spellEnd"/>
      <w:r>
        <w:rPr>
          <w:color w:val="auto"/>
        </w:rPr>
        <w:t xml:space="preserve">; </w:t>
      </w:r>
    </w:p>
    <w:p w:rsidR="000B6B6E" w:rsidRDefault="000B6B6E" w:rsidP="00661A2F">
      <w:pPr>
        <w:pStyle w:val="Default"/>
        <w:ind w:firstLine="360"/>
        <w:jc w:val="both"/>
        <w:rPr>
          <w:color w:val="auto"/>
        </w:rPr>
      </w:pPr>
    </w:p>
    <w:p w:rsidR="00661A2F" w:rsidRDefault="00661A2F" w:rsidP="00661A2F">
      <w:pPr>
        <w:pStyle w:val="Default"/>
        <w:ind w:firstLine="360"/>
        <w:jc w:val="both"/>
        <w:rPr>
          <w:color w:val="auto"/>
        </w:rPr>
      </w:pPr>
      <w:proofErr w:type="spellStart"/>
      <w:r>
        <w:rPr>
          <w:color w:val="auto"/>
        </w:rPr>
        <w:t>În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temeiul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prevederilor</w:t>
      </w:r>
      <w:proofErr w:type="spellEnd"/>
      <w:r>
        <w:rPr>
          <w:color w:val="auto"/>
        </w:rPr>
        <w:t xml:space="preserve"> art. 45 </w:t>
      </w:r>
      <w:proofErr w:type="spellStart"/>
      <w:r>
        <w:rPr>
          <w:color w:val="auto"/>
        </w:rPr>
        <w:t>alin</w:t>
      </w:r>
      <w:proofErr w:type="spellEnd"/>
      <w:r>
        <w:rPr>
          <w:color w:val="auto"/>
        </w:rPr>
        <w:t xml:space="preserve">. (1), art. 81 </w:t>
      </w:r>
      <w:proofErr w:type="spellStart"/>
      <w:r>
        <w:rPr>
          <w:color w:val="auto"/>
        </w:rPr>
        <w:t>alin</w:t>
      </w:r>
      <w:proofErr w:type="spellEnd"/>
      <w:r>
        <w:rPr>
          <w:color w:val="auto"/>
        </w:rPr>
        <w:t xml:space="preserve">. (2) lit. j), o), r)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alin</w:t>
      </w:r>
      <w:proofErr w:type="spellEnd"/>
      <w:r>
        <w:rPr>
          <w:color w:val="auto"/>
        </w:rPr>
        <w:t xml:space="preserve">. (4), art. 115 </w:t>
      </w:r>
      <w:proofErr w:type="spellStart"/>
      <w:r>
        <w:rPr>
          <w:color w:val="auto"/>
        </w:rPr>
        <w:t>alin</w:t>
      </w:r>
      <w:proofErr w:type="spellEnd"/>
      <w:r>
        <w:rPr>
          <w:color w:val="auto"/>
        </w:rPr>
        <w:t xml:space="preserve">. (1) lit. b) din </w:t>
      </w:r>
      <w:proofErr w:type="spellStart"/>
      <w:r>
        <w:rPr>
          <w:color w:val="auto"/>
        </w:rPr>
        <w:t>Legea</w:t>
      </w:r>
      <w:proofErr w:type="spellEnd"/>
      <w:r>
        <w:rPr>
          <w:color w:val="auto"/>
        </w:rPr>
        <w:t xml:space="preserve"> nr.215/2001 a </w:t>
      </w:r>
      <w:proofErr w:type="spellStart"/>
      <w:r>
        <w:rPr>
          <w:color w:val="auto"/>
        </w:rPr>
        <w:t>administraţiei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publice</w:t>
      </w:r>
      <w:proofErr w:type="spellEnd"/>
      <w:r>
        <w:rPr>
          <w:color w:val="auto"/>
        </w:rPr>
        <w:t xml:space="preserve"> locale, </w:t>
      </w:r>
      <w:proofErr w:type="spellStart"/>
      <w:r>
        <w:rPr>
          <w:color w:val="auto"/>
        </w:rPr>
        <w:t>republicată</w:t>
      </w:r>
      <w:proofErr w:type="spellEnd"/>
      <w:r>
        <w:rPr>
          <w:color w:val="auto"/>
        </w:rPr>
        <w:t xml:space="preserve">, cu </w:t>
      </w:r>
      <w:proofErr w:type="spellStart"/>
      <w:r>
        <w:rPr>
          <w:color w:val="auto"/>
        </w:rPr>
        <w:t>modificările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completările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ulterioare</w:t>
      </w:r>
      <w:proofErr w:type="spellEnd"/>
      <w:r>
        <w:rPr>
          <w:color w:val="auto"/>
        </w:rPr>
        <w:t xml:space="preserve">, </w:t>
      </w: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ind w:firstLine="360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Consiliul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Local al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Sectorului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4,</w:t>
      </w: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0F" w:rsidRDefault="00327F0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0F" w:rsidRDefault="00327F0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0F" w:rsidRDefault="00327F0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HOTĂRĂŞTE</w:t>
      </w: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0F" w:rsidRDefault="00327F0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F0F" w:rsidRDefault="00327F0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661A2F" w:rsidRDefault="00661A2F" w:rsidP="00661A2F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Art. 1</w:t>
      </w:r>
      <w:r>
        <w:rPr>
          <w:color w:val="auto"/>
        </w:rPr>
        <w:t xml:space="preserve">. </w:t>
      </w:r>
      <w:proofErr w:type="spellStart"/>
      <w:r>
        <w:rPr>
          <w:color w:val="auto"/>
        </w:rPr>
        <w:t>Începând</w:t>
      </w:r>
      <w:proofErr w:type="spellEnd"/>
      <w:r>
        <w:rPr>
          <w:color w:val="auto"/>
        </w:rPr>
        <w:t xml:space="preserve"> cu data </w:t>
      </w:r>
      <w:proofErr w:type="spellStart"/>
      <w:r>
        <w:rPr>
          <w:color w:val="auto"/>
        </w:rPr>
        <w:t>prezentei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hotărâri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agenţii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economici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persoane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fizice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sau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juridice</w:t>
      </w:r>
      <w:proofErr w:type="spellEnd"/>
      <w:r>
        <w:rPr>
          <w:color w:val="auto"/>
        </w:rPr>
        <w:t xml:space="preserve"> care </w:t>
      </w:r>
      <w:proofErr w:type="spellStart"/>
      <w:r>
        <w:rPr>
          <w:color w:val="auto"/>
        </w:rPr>
        <w:t>desfăşoară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activităţi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comercializare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produselor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serviciilor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piață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în</w:t>
      </w:r>
      <w:proofErr w:type="spellEnd"/>
      <w:r>
        <w:rPr>
          <w:color w:val="auto"/>
        </w:rPr>
        <w:t xml:space="preserve"> zone </w:t>
      </w:r>
      <w:proofErr w:type="spellStart"/>
      <w:r>
        <w:rPr>
          <w:color w:val="auto"/>
        </w:rPr>
        <w:t>publice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sau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în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orice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zonă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altă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natură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destinată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folosinţei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publice</w:t>
      </w:r>
      <w:proofErr w:type="spellEnd"/>
      <w:r>
        <w:rPr>
          <w:color w:val="auto"/>
        </w:rPr>
        <w:t xml:space="preserve">, de </w:t>
      </w:r>
      <w:proofErr w:type="spellStart"/>
      <w:r>
        <w:rPr>
          <w:color w:val="auto"/>
        </w:rPr>
        <w:t>pe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teritoriul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Sectorului</w:t>
      </w:r>
      <w:proofErr w:type="spellEnd"/>
      <w:r>
        <w:rPr>
          <w:color w:val="auto"/>
        </w:rPr>
        <w:t xml:space="preserve"> 4, </w:t>
      </w:r>
      <w:proofErr w:type="spellStart"/>
      <w:r>
        <w:rPr>
          <w:color w:val="auto"/>
        </w:rPr>
        <w:t>în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structuri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vânzare</w:t>
      </w:r>
      <w:proofErr w:type="spellEnd"/>
      <w:r>
        <w:rPr>
          <w:color w:val="auto"/>
        </w:rPr>
        <w:t xml:space="preserve"> cu </w:t>
      </w:r>
      <w:proofErr w:type="spellStart"/>
      <w:r>
        <w:rPr>
          <w:color w:val="auto"/>
        </w:rPr>
        <w:t>sediul</w:t>
      </w:r>
      <w:proofErr w:type="spellEnd"/>
      <w:r>
        <w:rPr>
          <w:color w:val="auto"/>
        </w:rPr>
        <w:t xml:space="preserve"> fix, permanent, </w:t>
      </w:r>
      <w:proofErr w:type="spellStart"/>
      <w:r>
        <w:rPr>
          <w:color w:val="auto"/>
        </w:rPr>
        <w:t>sau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temporar</w:t>
      </w:r>
      <w:proofErr w:type="spellEnd"/>
      <w:r>
        <w:rPr>
          <w:color w:val="auto"/>
        </w:rPr>
        <w:t xml:space="preserve">, au </w:t>
      </w:r>
      <w:proofErr w:type="spellStart"/>
      <w:r>
        <w:rPr>
          <w:color w:val="auto"/>
        </w:rPr>
        <w:t>obligația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solicite</w:t>
      </w:r>
      <w:proofErr w:type="spellEnd"/>
      <w:r>
        <w:rPr>
          <w:color w:val="auto"/>
        </w:rPr>
        <w:t xml:space="preserve">  </w:t>
      </w:r>
      <w:proofErr w:type="spellStart"/>
      <w:r>
        <w:rPr>
          <w:color w:val="auto"/>
        </w:rPr>
        <w:t>Sectorului</w:t>
      </w:r>
      <w:proofErr w:type="spellEnd"/>
      <w:r>
        <w:rPr>
          <w:color w:val="auto"/>
        </w:rPr>
        <w:t xml:space="preserve"> 4  al </w:t>
      </w:r>
      <w:proofErr w:type="spellStart"/>
      <w:r>
        <w:rPr>
          <w:color w:val="auto"/>
        </w:rPr>
        <w:t>Municipiului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București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şi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obţină</w:t>
      </w:r>
      <w:proofErr w:type="spellEnd"/>
      <w:r>
        <w:rPr>
          <w:color w:val="auto"/>
        </w:rPr>
        <w:t xml:space="preserve"> de la </w:t>
      </w:r>
      <w:proofErr w:type="spellStart"/>
      <w:r>
        <w:rPr>
          <w:color w:val="auto"/>
        </w:rPr>
        <w:t>acesta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acordul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comercializarea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produselor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serviciilor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piață</w:t>
      </w:r>
      <w:proofErr w:type="spellEnd"/>
      <w:r>
        <w:rPr>
          <w:color w:val="auto"/>
        </w:rPr>
        <w:t xml:space="preserve"> / </w:t>
      </w:r>
      <w:proofErr w:type="spellStart"/>
      <w:r>
        <w:rPr>
          <w:color w:val="auto"/>
        </w:rPr>
        <w:t>aviz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pentru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orarul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funcționare</w:t>
      </w:r>
      <w:proofErr w:type="spellEnd"/>
      <w:r>
        <w:rPr>
          <w:color w:val="auto"/>
        </w:rPr>
        <w:t xml:space="preserve"> / </w:t>
      </w:r>
      <w:proofErr w:type="spellStart"/>
      <w:r>
        <w:rPr>
          <w:color w:val="auto"/>
        </w:rPr>
        <w:t>acord</w:t>
      </w:r>
      <w:proofErr w:type="spellEnd"/>
      <w:r>
        <w:rPr>
          <w:color w:val="auto"/>
        </w:rPr>
        <w:t xml:space="preserve">  </w:t>
      </w:r>
      <w:proofErr w:type="spellStart"/>
      <w:r>
        <w:rPr>
          <w:color w:val="auto"/>
        </w:rPr>
        <w:t>desfășurarea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activități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temporar</w:t>
      </w:r>
      <w:proofErr w:type="spellEnd"/>
      <w:r>
        <w:rPr>
          <w:color w:val="auto"/>
        </w:rPr>
        <w:t xml:space="preserve">. </w:t>
      </w: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661A2F" w:rsidP="00661A2F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Art. 2. </w:t>
      </w:r>
      <w:r>
        <w:rPr>
          <w:color w:val="auto"/>
        </w:rPr>
        <w:t xml:space="preserve">Se </w:t>
      </w:r>
      <w:proofErr w:type="spellStart"/>
      <w:r>
        <w:rPr>
          <w:color w:val="auto"/>
        </w:rPr>
        <w:t>aprobă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Regulamentul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privind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organizarea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și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desfăşurarea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activităţilor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comerciale</w:t>
      </w:r>
      <w:proofErr w:type="spellEnd"/>
      <w:r>
        <w:rPr>
          <w:color w:val="auto"/>
        </w:rPr>
        <w:t xml:space="preserve"> </w:t>
      </w:r>
      <w:proofErr w:type="spellStart"/>
      <w:proofErr w:type="gramStart"/>
      <w:r>
        <w:rPr>
          <w:color w:val="auto"/>
        </w:rPr>
        <w:t>şi</w:t>
      </w:r>
      <w:proofErr w:type="spellEnd"/>
      <w:r>
        <w:rPr>
          <w:color w:val="auto"/>
        </w:rPr>
        <w:t xml:space="preserve">  a</w:t>
      </w:r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serviciilor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piaţă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raza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teritorială</w:t>
      </w:r>
      <w:proofErr w:type="spellEnd"/>
      <w:r>
        <w:rPr>
          <w:color w:val="auto"/>
        </w:rPr>
        <w:t xml:space="preserve">  </w:t>
      </w:r>
      <w:proofErr w:type="spellStart"/>
      <w:r>
        <w:rPr>
          <w:color w:val="auto"/>
        </w:rPr>
        <w:t>sectorului</w:t>
      </w:r>
      <w:proofErr w:type="spellEnd"/>
      <w:r>
        <w:rPr>
          <w:color w:val="auto"/>
        </w:rPr>
        <w:t xml:space="preserve"> 4 al </w:t>
      </w:r>
      <w:proofErr w:type="spellStart"/>
      <w:r>
        <w:rPr>
          <w:color w:val="auto"/>
        </w:rPr>
        <w:t>municipiului</w:t>
      </w:r>
      <w:proofErr w:type="spellEnd"/>
      <w:r w:rsidR="00E41EC9">
        <w:rPr>
          <w:color w:val="auto"/>
        </w:rPr>
        <w:t xml:space="preserve"> </w:t>
      </w:r>
      <w:proofErr w:type="spellStart"/>
      <w:r w:rsidR="00E41EC9">
        <w:rPr>
          <w:color w:val="auto"/>
        </w:rPr>
        <w:t>Bucureşti</w:t>
      </w:r>
      <w:proofErr w:type="spellEnd"/>
      <w:r w:rsidR="00E41EC9">
        <w:rPr>
          <w:color w:val="auto"/>
        </w:rPr>
        <w:t xml:space="preserve">, conform </w:t>
      </w:r>
      <w:proofErr w:type="spellStart"/>
      <w:r w:rsidR="00E41EC9">
        <w:rPr>
          <w:color w:val="auto"/>
        </w:rPr>
        <w:t>Anexei</w:t>
      </w:r>
      <w:proofErr w:type="spellEnd"/>
      <w:r>
        <w:rPr>
          <w:color w:val="auto"/>
        </w:rPr>
        <w:t xml:space="preserve">, care face </w:t>
      </w:r>
      <w:proofErr w:type="spellStart"/>
      <w:r>
        <w:rPr>
          <w:color w:val="auto"/>
        </w:rPr>
        <w:t>parte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integrantă</w:t>
      </w:r>
      <w:proofErr w:type="spellEnd"/>
      <w:r>
        <w:rPr>
          <w:color w:val="auto"/>
        </w:rPr>
        <w:t xml:space="preserve"> din </w:t>
      </w:r>
      <w:proofErr w:type="spellStart"/>
      <w:r>
        <w:rPr>
          <w:color w:val="auto"/>
        </w:rPr>
        <w:t>prezenta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hotărâre</w:t>
      </w:r>
      <w:proofErr w:type="spellEnd"/>
      <w:r>
        <w:rPr>
          <w:color w:val="auto"/>
        </w:rPr>
        <w:t>.</w:t>
      </w: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E41EC9" w:rsidP="00661A2F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Art. 3</w:t>
      </w:r>
      <w:r w:rsidR="00661A2F">
        <w:rPr>
          <w:b/>
          <w:bCs/>
          <w:color w:val="auto"/>
        </w:rPr>
        <w:t xml:space="preserve">. </w:t>
      </w:r>
      <w:proofErr w:type="spellStart"/>
      <w:r w:rsidR="00661A2F">
        <w:rPr>
          <w:color w:val="auto"/>
        </w:rPr>
        <w:t>Taxele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datorate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utilizării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domeniului</w:t>
      </w:r>
      <w:proofErr w:type="spellEnd"/>
      <w:r w:rsidR="00661A2F">
        <w:rPr>
          <w:color w:val="auto"/>
        </w:rPr>
        <w:t xml:space="preserve"> public </w:t>
      </w:r>
      <w:proofErr w:type="spellStart"/>
      <w:r w:rsidR="00661A2F">
        <w:rPr>
          <w:color w:val="auto"/>
        </w:rPr>
        <w:t>sunt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cele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prevăzute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în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hotărârile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anuale</w:t>
      </w:r>
      <w:proofErr w:type="spellEnd"/>
      <w:r w:rsidR="00661A2F">
        <w:rPr>
          <w:color w:val="auto"/>
        </w:rPr>
        <w:t xml:space="preserve"> ale </w:t>
      </w:r>
      <w:proofErr w:type="spellStart"/>
      <w:r w:rsidR="00661A2F">
        <w:rPr>
          <w:color w:val="auto"/>
        </w:rPr>
        <w:t>Consiliului</w:t>
      </w:r>
      <w:proofErr w:type="spellEnd"/>
      <w:r w:rsidR="00661A2F">
        <w:rPr>
          <w:color w:val="auto"/>
        </w:rPr>
        <w:t xml:space="preserve"> General al </w:t>
      </w:r>
      <w:proofErr w:type="spellStart"/>
      <w:r w:rsidR="00661A2F">
        <w:rPr>
          <w:color w:val="auto"/>
        </w:rPr>
        <w:t>Municipiului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Bucureşti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privind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stabilirea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impozitelor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şi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taxelor</w:t>
      </w:r>
      <w:proofErr w:type="spellEnd"/>
      <w:r w:rsidR="00661A2F">
        <w:rPr>
          <w:color w:val="auto"/>
        </w:rPr>
        <w:t xml:space="preserve"> locale </w:t>
      </w:r>
      <w:proofErr w:type="spellStart"/>
      <w:r w:rsidR="00661A2F">
        <w:rPr>
          <w:color w:val="auto"/>
        </w:rPr>
        <w:t>în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Municipiul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Bucureşti</w:t>
      </w:r>
      <w:proofErr w:type="spellEnd"/>
      <w:r w:rsidR="00661A2F">
        <w:rPr>
          <w:color w:val="auto"/>
        </w:rPr>
        <w:t xml:space="preserve">. </w:t>
      </w: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E41EC9" w:rsidP="00661A2F">
      <w:pPr>
        <w:pStyle w:val="Default"/>
        <w:jc w:val="both"/>
        <w:rPr>
          <w:color w:val="auto"/>
        </w:rPr>
      </w:pPr>
      <w:r>
        <w:rPr>
          <w:b/>
          <w:color w:val="auto"/>
        </w:rPr>
        <w:t>Art. 4</w:t>
      </w:r>
      <w:r w:rsidR="00661A2F">
        <w:rPr>
          <w:b/>
          <w:color w:val="auto"/>
        </w:rPr>
        <w:t xml:space="preserve">. </w:t>
      </w:r>
      <w:r w:rsidR="00661A2F">
        <w:rPr>
          <w:color w:val="auto"/>
        </w:rPr>
        <w:t xml:space="preserve">Se </w:t>
      </w:r>
      <w:proofErr w:type="spellStart"/>
      <w:r w:rsidR="00661A2F">
        <w:rPr>
          <w:color w:val="auto"/>
        </w:rPr>
        <w:t>mandatează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primarul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Sectorului</w:t>
      </w:r>
      <w:proofErr w:type="spellEnd"/>
      <w:r w:rsidR="00661A2F">
        <w:rPr>
          <w:color w:val="auto"/>
        </w:rPr>
        <w:t xml:space="preserve"> 4 al </w:t>
      </w:r>
      <w:proofErr w:type="spellStart"/>
      <w:r w:rsidR="00661A2F">
        <w:rPr>
          <w:color w:val="auto"/>
        </w:rPr>
        <w:t>Municipiului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București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să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emită</w:t>
      </w:r>
      <w:proofErr w:type="spellEnd"/>
      <w:r w:rsidR="00661A2F">
        <w:rPr>
          <w:color w:val="auto"/>
        </w:rPr>
        <w:t xml:space="preserve"> Acord/</w:t>
      </w:r>
      <w:proofErr w:type="spellStart"/>
      <w:r w:rsidR="00661A2F">
        <w:rPr>
          <w:color w:val="auto"/>
        </w:rPr>
        <w:t>Aviz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orar</w:t>
      </w:r>
      <w:proofErr w:type="spellEnd"/>
      <w:r w:rsidR="00661A2F">
        <w:rPr>
          <w:color w:val="auto"/>
        </w:rPr>
        <w:t xml:space="preserve"> de </w:t>
      </w:r>
      <w:proofErr w:type="spellStart"/>
      <w:r w:rsidR="00661A2F">
        <w:rPr>
          <w:color w:val="auto"/>
        </w:rPr>
        <w:t>funcționare</w:t>
      </w:r>
      <w:proofErr w:type="spellEnd"/>
      <w:r w:rsidR="00661A2F">
        <w:rPr>
          <w:color w:val="auto"/>
        </w:rPr>
        <w:t xml:space="preserve">/Acord </w:t>
      </w:r>
      <w:proofErr w:type="spellStart"/>
      <w:r w:rsidR="00661A2F">
        <w:rPr>
          <w:color w:val="auto"/>
        </w:rPr>
        <w:t>desfășurare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activități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temporar</w:t>
      </w:r>
      <w:proofErr w:type="spellEnd"/>
      <w:r w:rsidR="00661A2F">
        <w:rPr>
          <w:color w:val="auto"/>
        </w:rPr>
        <w:t>.</w:t>
      </w: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E41EC9" w:rsidP="00661A2F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Art. 5</w:t>
      </w:r>
      <w:r w:rsidR="00661A2F">
        <w:rPr>
          <w:b/>
          <w:bCs/>
          <w:color w:val="auto"/>
        </w:rPr>
        <w:t xml:space="preserve">. </w:t>
      </w:r>
      <w:r w:rsidR="00661A2F">
        <w:rPr>
          <w:color w:val="auto"/>
        </w:rPr>
        <w:t xml:space="preserve">La data </w:t>
      </w:r>
      <w:proofErr w:type="spellStart"/>
      <w:r w:rsidR="00661A2F">
        <w:rPr>
          <w:color w:val="auto"/>
        </w:rPr>
        <w:t>intrării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în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vigoare</w:t>
      </w:r>
      <w:proofErr w:type="spellEnd"/>
      <w:r w:rsidR="00661A2F">
        <w:rPr>
          <w:color w:val="auto"/>
        </w:rPr>
        <w:t xml:space="preserve"> a </w:t>
      </w:r>
      <w:proofErr w:type="spellStart"/>
      <w:r w:rsidR="00661A2F">
        <w:rPr>
          <w:color w:val="auto"/>
        </w:rPr>
        <w:t>prezentei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hotărâri</w:t>
      </w:r>
      <w:proofErr w:type="spellEnd"/>
      <w:r w:rsidR="00661A2F">
        <w:rPr>
          <w:color w:val="auto"/>
        </w:rPr>
        <w:t xml:space="preserve"> se </w:t>
      </w:r>
      <w:proofErr w:type="spellStart"/>
      <w:r w:rsidR="00661A2F">
        <w:rPr>
          <w:color w:val="auto"/>
        </w:rPr>
        <w:t>abrogă</w:t>
      </w:r>
      <w:proofErr w:type="spellEnd"/>
      <w:r w:rsidR="00661A2F">
        <w:rPr>
          <w:color w:val="auto"/>
        </w:rPr>
        <w:t xml:space="preserve"> H.C.L.S.4 </w:t>
      </w:r>
      <w:proofErr w:type="spellStart"/>
      <w:r w:rsidR="00661A2F">
        <w:rPr>
          <w:color w:val="auto"/>
        </w:rPr>
        <w:t>nr</w:t>
      </w:r>
      <w:proofErr w:type="spellEnd"/>
      <w:r w:rsidR="00661A2F">
        <w:rPr>
          <w:color w:val="auto"/>
        </w:rPr>
        <w:t xml:space="preserve">. 55/2008, H.C.L.S.4 </w:t>
      </w:r>
      <w:proofErr w:type="spellStart"/>
      <w:r w:rsidR="00661A2F">
        <w:rPr>
          <w:color w:val="auto"/>
        </w:rPr>
        <w:t>nr</w:t>
      </w:r>
      <w:proofErr w:type="spellEnd"/>
      <w:r w:rsidR="00661A2F">
        <w:rPr>
          <w:color w:val="auto"/>
        </w:rPr>
        <w:t xml:space="preserve">. 22/2012, H.C.L.S.4 </w:t>
      </w:r>
      <w:proofErr w:type="spellStart"/>
      <w:r w:rsidR="00661A2F">
        <w:rPr>
          <w:color w:val="auto"/>
        </w:rPr>
        <w:t>nr</w:t>
      </w:r>
      <w:proofErr w:type="spellEnd"/>
      <w:r w:rsidR="00661A2F">
        <w:rPr>
          <w:color w:val="auto"/>
        </w:rPr>
        <w:t>. 21/</w:t>
      </w:r>
      <w:proofErr w:type="gramStart"/>
      <w:r w:rsidR="00661A2F">
        <w:rPr>
          <w:color w:val="auto"/>
        </w:rPr>
        <w:t xml:space="preserve">2012,  </w:t>
      </w:r>
      <w:proofErr w:type="spellStart"/>
      <w:r w:rsidR="00661A2F">
        <w:rPr>
          <w:color w:val="auto"/>
        </w:rPr>
        <w:t>şi</w:t>
      </w:r>
      <w:proofErr w:type="spellEnd"/>
      <w:proofErr w:type="gramEnd"/>
      <w:r w:rsidR="00661A2F">
        <w:rPr>
          <w:color w:val="auto"/>
        </w:rPr>
        <w:t xml:space="preserve"> H.C.L.S.4 </w:t>
      </w:r>
      <w:proofErr w:type="spellStart"/>
      <w:r w:rsidR="00661A2F">
        <w:rPr>
          <w:color w:val="auto"/>
        </w:rPr>
        <w:t>nr</w:t>
      </w:r>
      <w:proofErr w:type="spellEnd"/>
      <w:r w:rsidR="00661A2F">
        <w:rPr>
          <w:color w:val="auto"/>
        </w:rPr>
        <w:t xml:space="preserve">. 117 /2013. </w:t>
      </w:r>
    </w:p>
    <w:p w:rsidR="000B6B6E" w:rsidRDefault="000B6B6E" w:rsidP="00661A2F">
      <w:pPr>
        <w:pStyle w:val="Default"/>
        <w:jc w:val="both"/>
        <w:rPr>
          <w:color w:val="auto"/>
        </w:rPr>
      </w:pPr>
    </w:p>
    <w:p w:rsidR="00661A2F" w:rsidRDefault="000B6B6E" w:rsidP="00661A2F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Art. 6</w:t>
      </w:r>
      <w:r w:rsidR="00661A2F">
        <w:rPr>
          <w:b/>
          <w:bCs/>
          <w:color w:val="auto"/>
        </w:rPr>
        <w:t xml:space="preserve"> </w:t>
      </w:r>
      <w:proofErr w:type="spellStart"/>
      <w:r w:rsidR="00661A2F">
        <w:rPr>
          <w:color w:val="auto"/>
        </w:rPr>
        <w:t>Acordurile</w:t>
      </w:r>
      <w:proofErr w:type="spellEnd"/>
      <w:r w:rsidR="00661A2F">
        <w:rPr>
          <w:color w:val="auto"/>
        </w:rPr>
        <w:t xml:space="preserve"> de </w:t>
      </w:r>
      <w:proofErr w:type="spellStart"/>
      <w:r w:rsidR="00661A2F">
        <w:rPr>
          <w:color w:val="auto"/>
        </w:rPr>
        <w:t>funcţionare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eliberate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în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baza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hotărârilor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precedente</w:t>
      </w:r>
      <w:proofErr w:type="spellEnd"/>
      <w:r w:rsidR="00661A2F">
        <w:rPr>
          <w:color w:val="auto"/>
        </w:rPr>
        <w:t xml:space="preserve">, </w:t>
      </w:r>
      <w:proofErr w:type="spellStart"/>
      <w:r w:rsidR="00661A2F">
        <w:rPr>
          <w:color w:val="auto"/>
        </w:rPr>
        <w:t>rămân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valabile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până</w:t>
      </w:r>
      <w:proofErr w:type="spellEnd"/>
      <w:r w:rsidR="00661A2F">
        <w:rPr>
          <w:color w:val="auto"/>
        </w:rPr>
        <w:t xml:space="preserve"> la data </w:t>
      </w:r>
      <w:proofErr w:type="spellStart"/>
      <w:r w:rsidR="00661A2F">
        <w:rPr>
          <w:color w:val="auto"/>
        </w:rPr>
        <w:t>expirării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acestora</w:t>
      </w:r>
      <w:proofErr w:type="spellEnd"/>
      <w:r w:rsidR="00661A2F">
        <w:rPr>
          <w:color w:val="auto"/>
        </w:rPr>
        <w:t xml:space="preserve">. </w:t>
      </w: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0B6B6E" w:rsidP="00661A2F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lastRenderedPageBreak/>
        <w:t>Art.7</w:t>
      </w:r>
      <w:r w:rsidR="00661A2F">
        <w:rPr>
          <w:b/>
          <w:bCs/>
          <w:color w:val="auto"/>
        </w:rPr>
        <w:t xml:space="preserve"> </w:t>
      </w:r>
      <w:proofErr w:type="spellStart"/>
      <w:r w:rsidR="00661A2F">
        <w:rPr>
          <w:color w:val="auto"/>
        </w:rPr>
        <w:t>Primarul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Sectorului</w:t>
      </w:r>
      <w:proofErr w:type="spellEnd"/>
      <w:r w:rsidR="00661A2F">
        <w:rPr>
          <w:color w:val="auto"/>
        </w:rPr>
        <w:t xml:space="preserve"> 4, </w:t>
      </w:r>
      <w:proofErr w:type="spellStart"/>
      <w:r w:rsidR="00661A2F">
        <w:rPr>
          <w:color w:val="auto"/>
        </w:rPr>
        <w:t>Direcţia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Generală</w:t>
      </w:r>
      <w:proofErr w:type="spellEnd"/>
      <w:r w:rsidR="00661A2F">
        <w:rPr>
          <w:color w:val="auto"/>
        </w:rPr>
        <w:t xml:space="preserve"> de </w:t>
      </w:r>
      <w:proofErr w:type="spellStart"/>
      <w:r w:rsidR="00661A2F">
        <w:rPr>
          <w:color w:val="auto"/>
        </w:rPr>
        <w:t>Poliţie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Locală</w:t>
      </w:r>
      <w:proofErr w:type="spellEnd"/>
      <w:r w:rsidR="00661A2F">
        <w:rPr>
          <w:color w:val="auto"/>
        </w:rPr>
        <w:t xml:space="preserve"> Sector 4 </w:t>
      </w:r>
      <w:proofErr w:type="spellStart"/>
      <w:r w:rsidR="00661A2F">
        <w:rPr>
          <w:color w:val="auto"/>
        </w:rPr>
        <w:t>și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Serviciul</w:t>
      </w:r>
      <w:proofErr w:type="spellEnd"/>
      <w:r w:rsidR="00661A2F">
        <w:rPr>
          <w:color w:val="auto"/>
        </w:rPr>
        <w:t xml:space="preserve"> de </w:t>
      </w:r>
      <w:proofErr w:type="spellStart"/>
      <w:r w:rsidR="00661A2F">
        <w:rPr>
          <w:color w:val="auto"/>
        </w:rPr>
        <w:t>specialitate</w:t>
      </w:r>
      <w:proofErr w:type="spellEnd"/>
      <w:r w:rsidR="00661A2F">
        <w:rPr>
          <w:color w:val="auto"/>
        </w:rPr>
        <w:t xml:space="preserve"> din </w:t>
      </w:r>
      <w:proofErr w:type="spellStart"/>
      <w:r w:rsidR="00661A2F">
        <w:rPr>
          <w:color w:val="auto"/>
        </w:rPr>
        <w:t>cadrul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Aparatului</w:t>
      </w:r>
      <w:proofErr w:type="spellEnd"/>
      <w:r w:rsidR="00661A2F">
        <w:rPr>
          <w:color w:val="auto"/>
        </w:rPr>
        <w:t xml:space="preserve"> de </w:t>
      </w:r>
      <w:proofErr w:type="spellStart"/>
      <w:r w:rsidR="00661A2F">
        <w:rPr>
          <w:color w:val="auto"/>
        </w:rPr>
        <w:t>Specialitate</w:t>
      </w:r>
      <w:proofErr w:type="spellEnd"/>
      <w:r w:rsidR="00661A2F">
        <w:rPr>
          <w:color w:val="auto"/>
        </w:rPr>
        <w:t xml:space="preserve"> al </w:t>
      </w:r>
      <w:proofErr w:type="spellStart"/>
      <w:r w:rsidR="00661A2F">
        <w:rPr>
          <w:color w:val="auto"/>
        </w:rPr>
        <w:t>Primarului</w:t>
      </w:r>
      <w:proofErr w:type="spellEnd"/>
      <w:r w:rsidR="00661A2F">
        <w:rPr>
          <w:color w:val="auto"/>
        </w:rPr>
        <w:t xml:space="preserve">, </w:t>
      </w:r>
      <w:proofErr w:type="spellStart"/>
      <w:r w:rsidR="00661A2F">
        <w:rPr>
          <w:color w:val="auto"/>
        </w:rPr>
        <w:t>vor</w:t>
      </w:r>
      <w:proofErr w:type="spellEnd"/>
      <w:r w:rsidR="00661A2F">
        <w:rPr>
          <w:color w:val="auto"/>
        </w:rPr>
        <w:t xml:space="preserve"> duce la </w:t>
      </w:r>
      <w:proofErr w:type="spellStart"/>
      <w:r w:rsidR="00661A2F">
        <w:rPr>
          <w:color w:val="auto"/>
        </w:rPr>
        <w:t>îndeplinire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prevederile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prezentei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hotărâri</w:t>
      </w:r>
      <w:proofErr w:type="spellEnd"/>
      <w:r w:rsidR="00661A2F">
        <w:rPr>
          <w:color w:val="auto"/>
        </w:rPr>
        <w:t xml:space="preserve">. </w:t>
      </w:r>
    </w:p>
    <w:p w:rsidR="00661A2F" w:rsidRDefault="00661A2F" w:rsidP="00661A2F">
      <w:pPr>
        <w:pStyle w:val="Default"/>
        <w:jc w:val="both"/>
        <w:rPr>
          <w:color w:val="auto"/>
        </w:rPr>
      </w:pPr>
    </w:p>
    <w:p w:rsidR="00661A2F" w:rsidRDefault="000B6B6E" w:rsidP="00661A2F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Art. 8</w:t>
      </w:r>
      <w:r w:rsidR="00661A2F">
        <w:rPr>
          <w:b/>
          <w:bCs/>
          <w:color w:val="auto"/>
        </w:rPr>
        <w:t xml:space="preserve"> </w:t>
      </w:r>
      <w:proofErr w:type="spellStart"/>
      <w:r w:rsidR="00661A2F">
        <w:rPr>
          <w:color w:val="auto"/>
        </w:rPr>
        <w:t>Comunicarea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și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aducerea</w:t>
      </w:r>
      <w:proofErr w:type="spellEnd"/>
      <w:r w:rsidR="00661A2F">
        <w:rPr>
          <w:color w:val="auto"/>
        </w:rPr>
        <w:t xml:space="preserve"> la </w:t>
      </w:r>
      <w:proofErr w:type="spellStart"/>
      <w:r w:rsidR="00661A2F">
        <w:rPr>
          <w:color w:val="auto"/>
        </w:rPr>
        <w:t>cunoștința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publică</w:t>
      </w:r>
      <w:proofErr w:type="spellEnd"/>
      <w:r w:rsidR="00661A2F">
        <w:rPr>
          <w:color w:val="auto"/>
        </w:rPr>
        <w:t xml:space="preserve"> se </w:t>
      </w:r>
      <w:proofErr w:type="spellStart"/>
      <w:r w:rsidR="00661A2F">
        <w:rPr>
          <w:color w:val="auto"/>
        </w:rPr>
        <w:t>vor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aduce</w:t>
      </w:r>
      <w:proofErr w:type="spellEnd"/>
      <w:r w:rsidR="00661A2F">
        <w:rPr>
          <w:color w:val="auto"/>
        </w:rPr>
        <w:t xml:space="preserve"> de </w:t>
      </w:r>
      <w:proofErr w:type="spellStart"/>
      <w:r w:rsidR="00661A2F">
        <w:rPr>
          <w:color w:val="auto"/>
        </w:rPr>
        <w:t>către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Serviciul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Tehnic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Consiliul</w:t>
      </w:r>
      <w:proofErr w:type="spellEnd"/>
      <w:r w:rsidR="00661A2F">
        <w:rPr>
          <w:color w:val="auto"/>
        </w:rPr>
        <w:t xml:space="preserve"> Local </w:t>
      </w:r>
      <w:proofErr w:type="spellStart"/>
      <w:r w:rsidR="00661A2F">
        <w:rPr>
          <w:color w:val="auto"/>
        </w:rPr>
        <w:t>Documente</w:t>
      </w:r>
      <w:proofErr w:type="spellEnd"/>
      <w:r w:rsidR="00661A2F">
        <w:rPr>
          <w:color w:val="auto"/>
        </w:rPr>
        <w:t xml:space="preserve"> </w:t>
      </w:r>
      <w:proofErr w:type="gramStart"/>
      <w:r w:rsidR="00661A2F">
        <w:rPr>
          <w:color w:val="auto"/>
        </w:rPr>
        <w:t>Electoral ,conform</w:t>
      </w:r>
      <w:proofErr w:type="gram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competențelor</w:t>
      </w:r>
      <w:proofErr w:type="spellEnd"/>
      <w:r w:rsidR="00661A2F">
        <w:rPr>
          <w:color w:val="auto"/>
        </w:rPr>
        <w:t xml:space="preserve">, </w:t>
      </w:r>
      <w:proofErr w:type="spellStart"/>
      <w:r w:rsidR="00661A2F">
        <w:rPr>
          <w:color w:val="auto"/>
        </w:rPr>
        <w:t>prin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grija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Secretarul</w:t>
      </w:r>
      <w:proofErr w:type="spellEnd"/>
      <w:r w:rsidR="00661A2F">
        <w:rPr>
          <w:color w:val="auto"/>
        </w:rPr>
        <w:t xml:space="preserve"> </w:t>
      </w:r>
      <w:proofErr w:type="spellStart"/>
      <w:r w:rsidR="00661A2F">
        <w:rPr>
          <w:color w:val="auto"/>
        </w:rPr>
        <w:t>Sectorului</w:t>
      </w:r>
      <w:proofErr w:type="spellEnd"/>
      <w:r w:rsidR="00661A2F">
        <w:rPr>
          <w:color w:val="auto"/>
        </w:rPr>
        <w:t xml:space="preserve"> 4.</w:t>
      </w:r>
    </w:p>
    <w:p w:rsidR="00661A2F" w:rsidRDefault="00661A2F" w:rsidP="00661A2F">
      <w:pPr>
        <w:pStyle w:val="Default"/>
        <w:jc w:val="both"/>
        <w:rPr>
          <w:b/>
          <w:bCs/>
          <w:color w:val="auto"/>
        </w:rPr>
      </w:pPr>
    </w:p>
    <w:p w:rsidR="00661A2F" w:rsidRDefault="00661A2F" w:rsidP="00661A2F">
      <w:pPr>
        <w:pStyle w:val="Default"/>
        <w:jc w:val="both"/>
        <w:rPr>
          <w:b/>
          <w:bCs/>
          <w:color w:val="auto"/>
        </w:rPr>
      </w:pPr>
    </w:p>
    <w:p w:rsidR="00661A2F" w:rsidRDefault="00661A2F" w:rsidP="00661A2F">
      <w:pPr>
        <w:pStyle w:val="Default"/>
        <w:jc w:val="both"/>
        <w:rPr>
          <w:bCs/>
          <w:color w:val="auto"/>
        </w:rPr>
      </w:pP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PREŞEDINTE DE ŞEDINŢĂ,</w:t>
      </w: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</w:t>
      </w: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1A2F" w:rsidRDefault="00661A2F" w:rsidP="00661A2F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661A2F" w:rsidRDefault="00661A2F" w:rsidP="00661A2F">
      <w:pPr>
        <w:pStyle w:val="Default"/>
        <w:jc w:val="both"/>
        <w:rPr>
          <w:b/>
          <w:bCs/>
          <w:lang w:val="ro-RO"/>
        </w:rPr>
      </w:pPr>
      <w:r>
        <w:rPr>
          <w:b/>
          <w:bCs/>
          <w:lang w:val="fr-FR"/>
        </w:rPr>
        <w:t xml:space="preserve">                                                                                               </w:t>
      </w:r>
      <w:r>
        <w:rPr>
          <w:b/>
          <w:bCs/>
          <w:lang w:val="ro-RO"/>
        </w:rPr>
        <w:t>Avizează pentru legalitate</w:t>
      </w:r>
    </w:p>
    <w:p w:rsidR="00661A2F" w:rsidRDefault="00661A2F" w:rsidP="00661A2F">
      <w:pPr>
        <w:pStyle w:val="Default"/>
        <w:jc w:val="both"/>
        <w:rPr>
          <w:b/>
          <w:bCs/>
          <w:lang w:val="fr-FR"/>
        </w:rPr>
      </w:pPr>
      <w:r>
        <w:rPr>
          <w:b/>
          <w:bCs/>
          <w:lang w:val="ro-RO"/>
        </w:rPr>
        <w:t xml:space="preserve">                                                                                              Conform Legii nr.215/2001</w:t>
      </w:r>
    </w:p>
    <w:p w:rsidR="00661A2F" w:rsidRDefault="00661A2F" w:rsidP="00661A2F">
      <w:pPr>
        <w:pStyle w:val="Default"/>
        <w:jc w:val="both"/>
        <w:rPr>
          <w:b/>
          <w:bCs/>
          <w:lang w:val="fr-FR"/>
        </w:rPr>
      </w:pP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  <w:t xml:space="preserve">           </w:t>
      </w:r>
      <w:r>
        <w:rPr>
          <w:b/>
          <w:bCs/>
          <w:lang w:val="fr-FR"/>
        </w:rPr>
        <w:tab/>
        <w:t xml:space="preserve">                                     </w:t>
      </w:r>
      <w:proofErr w:type="spellStart"/>
      <w:r>
        <w:rPr>
          <w:b/>
          <w:bCs/>
          <w:lang w:val="fr-FR"/>
        </w:rPr>
        <w:t>Secretarul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Sectorului</w:t>
      </w:r>
      <w:proofErr w:type="spellEnd"/>
      <w:r>
        <w:rPr>
          <w:b/>
          <w:bCs/>
          <w:lang w:val="fr-FR"/>
        </w:rPr>
        <w:t xml:space="preserve"> 4</w:t>
      </w:r>
    </w:p>
    <w:p w:rsidR="00661A2F" w:rsidRDefault="00661A2F" w:rsidP="00661A2F">
      <w:pPr>
        <w:pStyle w:val="Default"/>
        <w:jc w:val="both"/>
        <w:rPr>
          <w:b/>
          <w:bCs/>
          <w:lang w:val="fr-FR"/>
        </w:rPr>
      </w:pPr>
    </w:p>
    <w:p w:rsidR="00661A2F" w:rsidRDefault="00661A2F" w:rsidP="00661A2F">
      <w:pPr>
        <w:pStyle w:val="Default"/>
        <w:rPr>
          <w:b/>
          <w:bCs/>
        </w:rPr>
      </w:pP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  <w:t xml:space="preserve">          </w:t>
      </w:r>
      <w:r>
        <w:rPr>
          <w:b/>
          <w:bCs/>
          <w:lang w:val="fr-FR"/>
        </w:rPr>
        <w:tab/>
        <w:t xml:space="preserve">                                      </w:t>
      </w:r>
      <w:r>
        <w:rPr>
          <w:b/>
          <w:bCs/>
        </w:rPr>
        <w:t>Gabriela ANGHELOIU</w:t>
      </w:r>
    </w:p>
    <w:p w:rsidR="00661A2F" w:rsidRDefault="00661A2F" w:rsidP="00661A2F">
      <w:pPr>
        <w:pStyle w:val="Default"/>
        <w:rPr>
          <w:b/>
          <w:bCs/>
        </w:rPr>
      </w:pPr>
    </w:p>
    <w:p w:rsidR="00661A2F" w:rsidRDefault="00661A2F" w:rsidP="00661A2F">
      <w:pPr>
        <w:pStyle w:val="Default"/>
        <w:jc w:val="both"/>
        <w:rPr>
          <w:b/>
          <w:bCs/>
          <w:color w:val="auto"/>
        </w:rPr>
      </w:pPr>
    </w:p>
    <w:p w:rsidR="00566F90" w:rsidRDefault="00566F90"/>
    <w:sectPr w:rsidR="00566F90" w:rsidSect="00E74B0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81770"/>
    <w:multiLevelType w:val="hybridMultilevel"/>
    <w:tmpl w:val="6D56145E"/>
    <w:lvl w:ilvl="0" w:tplc="1ED888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356302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A2F"/>
    <w:rsid w:val="000B6B6E"/>
    <w:rsid w:val="00327F0F"/>
    <w:rsid w:val="003D7551"/>
    <w:rsid w:val="00566F90"/>
    <w:rsid w:val="00661A2F"/>
    <w:rsid w:val="00DF4D39"/>
    <w:rsid w:val="00E41EC9"/>
    <w:rsid w:val="00E7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C9194"/>
  <w15:chartTrackingRefBased/>
  <w15:docId w15:val="{6F4CF6BB-31E9-4300-9D38-BCA94934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61A2F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661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7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74B0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5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mihaela.popa@ps4.local</dc:creator>
  <cp:keywords/>
  <dc:description/>
  <cp:lastModifiedBy>mihaela.popa@ps4.local</cp:lastModifiedBy>
  <cp:revision>7</cp:revision>
  <cp:lastPrinted>2016-11-10T13:36:00Z</cp:lastPrinted>
  <dcterms:created xsi:type="dcterms:W3CDTF">2016-11-10T13:17:00Z</dcterms:created>
  <dcterms:modified xsi:type="dcterms:W3CDTF">2016-11-10T14:23:00Z</dcterms:modified>
</cp:coreProperties>
</file>